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833" w:rsidRDefault="009229C7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BILJEŠKE UZ FINANCIJSKA IZVJEŠĆA</w:t>
      </w:r>
    </w:p>
    <w:p w:rsidR="004A2833" w:rsidRDefault="009229C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RAZDOBLJE</w:t>
      </w:r>
    </w:p>
    <w:p w:rsidR="004A2833" w:rsidRDefault="009229C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01.01.2025. – 31.03.2025. GODINE</w:t>
      </w:r>
    </w:p>
    <w:p w:rsidR="004A2833" w:rsidRDefault="004A2833">
      <w:pPr>
        <w:spacing w:after="0"/>
        <w:jc w:val="center"/>
        <w:rPr>
          <w:rFonts w:ascii="Arial" w:hAnsi="Arial" w:cs="Arial"/>
          <w:b/>
        </w:rPr>
      </w:pPr>
    </w:p>
    <w:p w:rsidR="004A2833" w:rsidRDefault="009229C7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NAZIV: OPĆINA JAKŠIĆ</w:t>
      </w:r>
    </w:p>
    <w:p w:rsidR="004A2833" w:rsidRDefault="009229C7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ADRESA: OSJEČKA 39</w:t>
      </w:r>
    </w:p>
    <w:p w:rsidR="004A2833" w:rsidRDefault="009229C7">
      <w:pPr>
        <w:spacing w:after="0"/>
      </w:pPr>
      <w:r>
        <w:rPr>
          <w:rFonts w:ascii="Arial" w:hAnsi="Arial" w:cs="Arial"/>
          <w:b/>
          <w:sz w:val="22"/>
        </w:rPr>
        <w:t xml:space="preserve">OIB: </w:t>
      </w:r>
      <w:r>
        <w:rPr>
          <w:rFonts w:ascii="Arial" w:hAnsi="Arial" w:cs="Arial"/>
          <w:b/>
          <w:color w:val="293642"/>
          <w:sz w:val="22"/>
          <w:shd w:val="clear" w:color="auto" w:fill="FFFFFF"/>
        </w:rPr>
        <w:t>16625508803</w:t>
      </w:r>
    </w:p>
    <w:p w:rsidR="004A2833" w:rsidRDefault="009229C7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MATIČNI BROJ: 2546477</w:t>
      </w:r>
    </w:p>
    <w:p w:rsidR="004A2833" w:rsidRDefault="009229C7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RKP: 32512</w:t>
      </w:r>
    </w:p>
    <w:p w:rsidR="004A2833" w:rsidRDefault="009229C7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ŠIFRA </w:t>
      </w:r>
      <w:r>
        <w:rPr>
          <w:rFonts w:ascii="Arial" w:hAnsi="Arial" w:cs="Arial"/>
          <w:b/>
          <w:sz w:val="22"/>
        </w:rPr>
        <w:t>DJELATNOSTI PREMA NKD: 8411</w:t>
      </w:r>
    </w:p>
    <w:p w:rsidR="004A2833" w:rsidRDefault="009229C7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RAZINA: 22 – proračun jedinice lokalne i područne (regionalne) samouprave</w:t>
      </w:r>
    </w:p>
    <w:p w:rsidR="004A2833" w:rsidRDefault="004A2833">
      <w:pPr>
        <w:spacing w:after="0"/>
        <w:jc w:val="center"/>
        <w:rPr>
          <w:rFonts w:ascii="Times New Roman" w:hAnsi="Times New Roman"/>
          <w:b/>
          <w:sz w:val="22"/>
        </w:rPr>
      </w:pPr>
    </w:p>
    <w:p w:rsidR="004A2833" w:rsidRDefault="009229C7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Člancima 14., 16. i 18. Pravilnika o financijskom izvještavanju u proračunskom računovodstvu (Narodne novine br. 37/2022) propisan je sadržaj financijski</w:t>
      </w:r>
      <w:r>
        <w:rPr>
          <w:rFonts w:ascii="Arial" w:hAnsi="Arial" w:cs="Arial"/>
          <w:sz w:val="22"/>
        </w:rPr>
        <w:t xml:space="preserve">h izvještaja. Bilješke uz financijske izvještaje sastavni su dio financijskih izvještaja proračuna. </w:t>
      </w:r>
    </w:p>
    <w:p w:rsidR="004A2833" w:rsidRDefault="004A2833">
      <w:pPr>
        <w:spacing w:after="0"/>
        <w:jc w:val="both"/>
        <w:rPr>
          <w:rFonts w:ascii="Arial" w:hAnsi="Arial" w:cs="Arial"/>
          <w:sz w:val="22"/>
        </w:rPr>
      </w:pPr>
    </w:p>
    <w:p w:rsidR="004A2833" w:rsidRDefault="009229C7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Općina Jakšić pri evidentiranju poslovnih promjena primjenjuje modificirano računovodstveno načelo priznavanja prihoda i rashoda te je obveznik proračunsk</w:t>
      </w:r>
      <w:r>
        <w:rPr>
          <w:rFonts w:ascii="Arial" w:hAnsi="Arial" w:cs="Arial"/>
          <w:sz w:val="22"/>
        </w:rPr>
        <w:t>og računovodstva.</w:t>
      </w:r>
    </w:p>
    <w:p w:rsidR="004A2833" w:rsidRDefault="004A2833">
      <w:pPr>
        <w:spacing w:after="0"/>
        <w:jc w:val="both"/>
        <w:rPr>
          <w:rFonts w:ascii="Arial" w:hAnsi="Arial" w:cs="Arial"/>
        </w:rPr>
      </w:pPr>
    </w:p>
    <w:p w:rsidR="004A2833" w:rsidRDefault="009229C7">
      <w:pPr>
        <w:spacing w:after="0"/>
        <w:jc w:val="both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Razdoblje na koje se odnose bilješke uz financijska izvješća je 01.01.2025.-31.03.2025. g.</w:t>
      </w:r>
    </w:p>
    <w:p w:rsidR="004A2833" w:rsidRDefault="004A2833">
      <w:pPr>
        <w:spacing w:after="0"/>
        <w:rPr>
          <w:rFonts w:ascii="Arial" w:hAnsi="Arial" w:cs="Arial"/>
          <w:b/>
          <w:u w:val="single"/>
        </w:rPr>
      </w:pPr>
    </w:p>
    <w:p w:rsidR="004A2833" w:rsidRDefault="004A2833">
      <w:pPr>
        <w:spacing w:after="0"/>
        <w:jc w:val="center"/>
        <w:rPr>
          <w:rFonts w:ascii="Arial" w:hAnsi="Arial" w:cs="Arial"/>
          <w:b/>
          <w:u w:val="single"/>
        </w:rPr>
      </w:pPr>
    </w:p>
    <w:p w:rsidR="004A2833" w:rsidRDefault="004A2833">
      <w:pPr>
        <w:spacing w:after="0"/>
        <w:jc w:val="center"/>
        <w:rPr>
          <w:rFonts w:ascii="Arial" w:hAnsi="Arial" w:cs="Arial"/>
          <w:b/>
          <w:u w:val="single"/>
        </w:rPr>
      </w:pPr>
    </w:p>
    <w:p w:rsidR="004A2833" w:rsidRDefault="004A2833">
      <w:pPr>
        <w:spacing w:after="0"/>
        <w:rPr>
          <w:rFonts w:ascii="Arial" w:hAnsi="Arial" w:cs="Arial"/>
          <w:b/>
          <w:u w:val="single"/>
        </w:rPr>
      </w:pPr>
    </w:p>
    <w:p w:rsidR="004A2833" w:rsidRDefault="009229C7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BILJEŠKE UZ OBRAZAC PR-RAS</w:t>
      </w:r>
    </w:p>
    <w:p w:rsidR="004A2833" w:rsidRDefault="004A2833">
      <w:pPr>
        <w:spacing w:after="0"/>
        <w:rPr>
          <w:rFonts w:ascii="Arial" w:hAnsi="Arial" w:cs="Arial"/>
          <w:b/>
        </w:rPr>
      </w:pPr>
    </w:p>
    <w:p w:rsidR="004A2833" w:rsidRDefault="004A2833">
      <w:pPr>
        <w:spacing w:after="0"/>
        <w:rPr>
          <w:rFonts w:ascii="Arial" w:hAnsi="Arial" w:cs="Arial"/>
          <w:b/>
          <w:sz w:val="22"/>
          <w:u w:val="single"/>
        </w:rPr>
      </w:pPr>
    </w:p>
    <w:p w:rsidR="004A2833" w:rsidRDefault="009229C7">
      <w:pPr>
        <w:spacing w:after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6 PRIHODI POSLOVANJA</w:t>
      </w:r>
    </w:p>
    <w:p w:rsidR="004A2833" w:rsidRDefault="004A2833">
      <w:pPr>
        <w:spacing w:after="0"/>
        <w:rPr>
          <w:rFonts w:ascii="Arial" w:hAnsi="Arial" w:cs="Arial"/>
          <w:b/>
        </w:rPr>
      </w:pPr>
    </w:p>
    <w:p w:rsidR="004A2833" w:rsidRDefault="004A2833">
      <w:pPr>
        <w:spacing w:after="0"/>
        <w:rPr>
          <w:rFonts w:ascii="Arial" w:hAnsi="Arial" w:cs="Arial"/>
          <w:b/>
          <w:bCs/>
          <w:sz w:val="22"/>
        </w:rPr>
      </w:pPr>
    </w:p>
    <w:p w:rsidR="004A2833" w:rsidRDefault="009229C7">
      <w:pPr>
        <w:spacing w:after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611 Porez i prirez na dohodak</w:t>
      </w:r>
    </w:p>
    <w:p w:rsidR="004A2833" w:rsidRDefault="009229C7">
      <w:pPr>
        <w:pStyle w:val="Odlomakpopisa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  <w:sz w:val="22"/>
        </w:rPr>
        <w:t>Povećanje za 34,9%.</w:t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</w:rPr>
        <w:t xml:space="preserve">Razlika u prihodu je odraz priljeva </w:t>
      </w:r>
      <w:r>
        <w:rPr>
          <w:rFonts w:ascii="Arial" w:hAnsi="Arial" w:cs="Arial"/>
        </w:rPr>
        <w:t>poreznih prihoda i izvršenog povrata poreza u izvještajnom razdoblju.</w:t>
      </w:r>
    </w:p>
    <w:p w:rsidR="004A2833" w:rsidRDefault="004A2833">
      <w:pPr>
        <w:spacing w:after="0"/>
        <w:jc w:val="both"/>
        <w:rPr>
          <w:rFonts w:ascii="Arial" w:hAnsi="Arial" w:cs="Arial"/>
          <w:sz w:val="22"/>
        </w:rPr>
      </w:pPr>
    </w:p>
    <w:p w:rsidR="004A2833" w:rsidRDefault="004A2833">
      <w:pPr>
        <w:spacing w:after="0"/>
        <w:jc w:val="both"/>
        <w:rPr>
          <w:rFonts w:ascii="Arial" w:hAnsi="Arial" w:cs="Arial"/>
          <w:b/>
          <w:bCs/>
          <w:sz w:val="22"/>
        </w:rPr>
      </w:pPr>
    </w:p>
    <w:p w:rsidR="004A2833" w:rsidRDefault="009229C7">
      <w:pPr>
        <w:spacing w:after="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613 Porezi na imovinu</w:t>
      </w:r>
    </w:p>
    <w:p w:rsidR="004A2833" w:rsidRDefault="009229C7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povećanje za 32% u odnosu na isto izvještajno razdoblje prethodne godine, a odraz je prometa nekretninama na području Općine Jakšić. Naplatu poreza utvrđuje i pro</w:t>
      </w:r>
      <w:r>
        <w:rPr>
          <w:rFonts w:ascii="Arial" w:hAnsi="Arial" w:cs="Arial"/>
          <w:sz w:val="22"/>
        </w:rPr>
        <w:t>vodi Porezna uprava.</w:t>
      </w:r>
    </w:p>
    <w:p w:rsidR="004A2833" w:rsidRDefault="004A2833">
      <w:pPr>
        <w:spacing w:after="0"/>
        <w:rPr>
          <w:rFonts w:ascii="Arial" w:hAnsi="Arial" w:cs="Arial"/>
          <w:sz w:val="22"/>
        </w:rPr>
      </w:pPr>
    </w:p>
    <w:p w:rsidR="004A2833" w:rsidRDefault="004A2833">
      <w:pPr>
        <w:spacing w:after="0"/>
        <w:rPr>
          <w:rFonts w:ascii="Arial" w:hAnsi="Arial" w:cs="Arial"/>
          <w:b/>
          <w:bCs/>
          <w:sz w:val="22"/>
        </w:rPr>
      </w:pPr>
    </w:p>
    <w:p w:rsidR="004A2833" w:rsidRDefault="009229C7">
      <w:pPr>
        <w:spacing w:after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614 Porezi na robu i usluge</w:t>
      </w:r>
    </w:p>
    <w:p w:rsidR="004A2833" w:rsidRDefault="009229C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smanjenje za 5,5%. Ostvareni prihodi od poreza na promet (porez na potrošnju i porez na tvrtku) manji su u odnosu na izvještajno razdoblje prethodne godine. Naplatu poreza na potrošnju i poreza na tvrtku u</w:t>
      </w:r>
      <w:r>
        <w:rPr>
          <w:rFonts w:ascii="Arial" w:hAnsi="Arial" w:cs="Arial"/>
          <w:sz w:val="22"/>
        </w:rPr>
        <w:t>tvrđuje i provodi Porezna uprava.</w:t>
      </w:r>
    </w:p>
    <w:p w:rsidR="004A2833" w:rsidRDefault="004A2833">
      <w:pPr>
        <w:spacing w:after="0"/>
        <w:rPr>
          <w:rFonts w:ascii="Arial" w:hAnsi="Arial" w:cs="Arial"/>
          <w:b/>
          <w:bCs/>
          <w:sz w:val="22"/>
        </w:rPr>
      </w:pPr>
    </w:p>
    <w:p w:rsidR="004A2833" w:rsidRDefault="004A2833">
      <w:pPr>
        <w:spacing w:after="0"/>
        <w:rPr>
          <w:rFonts w:ascii="Arial" w:hAnsi="Arial" w:cs="Arial"/>
          <w:b/>
          <w:bCs/>
          <w:sz w:val="22"/>
        </w:rPr>
      </w:pPr>
    </w:p>
    <w:p w:rsidR="004A2833" w:rsidRDefault="009229C7">
      <w:pPr>
        <w:spacing w:after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633 Pomoći proračunu iz drugih proračuna i izvanproračunskim korisnicima</w:t>
      </w:r>
    </w:p>
    <w:p w:rsidR="004A2833" w:rsidRDefault="009229C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povećanje za 113,5% u odnosu na prethodno razdoblje. </w:t>
      </w:r>
    </w:p>
    <w:p w:rsidR="004A2833" w:rsidRDefault="009229C7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6331 – Tekuće pomoći proračunu iz drugih proračuna - povećanje za 11,2%.Iskazani iznos tekući</w:t>
      </w:r>
      <w:r>
        <w:rPr>
          <w:rFonts w:ascii="Arial" w:hAnsi="Arial" w:cs="Arial"/>
          <w:sz w:val="22"/>
        </w:rPr>
        <w:t>h pomoći proračunu iz drugih proračuna i izvanproračunskim korisnicima odnosi se na tekuće pomoći iz državnog proračuna za fiskalno izravnanje</w:t>
      </w:r>
    </w:p>
    <w:p w:rsidR="004A2833" w:rsidRDefault="009229C7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6332 – Kapitalne pomoći proračunu iz drugih proračuna – odnosi se na kapitalne pomoći iz državnog proračuna  (MIi</w:t>
      </w:r>
      <w:r>
        <w:rPr>
          <w:rFonts w:ascii="Arial" w:hAnsi="Arial" w:cs="Arial"/>
          <w:sz w:val="22"/>
        </w:rPr>
        <w:t>nistarstvo turizma i sporta – teniski teren Jakšić, NPOO – Rekonstrukcija i prenamjena zgrade mjesnog doma u dječji vrtić i jaslice u Eminovcima)</w:t>
      </w:r>
    </w:p>
    <w:p w:rsidR="004A2833" w:rsidRDefault="004A2833">
      <w:pPr>
        <w:spacing w:after="0"/>
        <w:rPr>
          <w:rFonts w:ascii="Arial" w:hAnsi="Arial" w:cs="Arial"/>
          <w:b/>
          <w:bCs/>
          <w:sz w:val="22"/>
        </w:rPr>
      </w:pPr>
    </w:p>
    <w:p w:rsidR="004A2833" w:rsidRDefault="004A2833">
      <w:pPr>
        <w:spacing w:after="0"/>
        <w:rPr>
          <w:rFonts w:ascii="Arial" w:hAnsi="Arial" w:cs="Arial"/>
          <w:b/>
          <w:bCs/>
          <w:sz w:val="22"/>
        </w:rPr>
      </w:pPr>
    </w:p>
    <w:p w:rsidR="004A2833" w:rsidRDefault="009229C7">
      <w:pPr>
        <w:spacing w:after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636 Pomoći proračunskim korisnicima iz proračuna koji im nije nadležan</w:t>
      </w:r>
    </w:p>
    <w:p w:rsidR="004A2833" w:rsidRDefault="009229C7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Povećanje za 36,9% odnosi se na </w:t>
      </w:r>
      <w:r>
        <w:rPr>
          <w:rFonts w:ascii="Arial" w:hAnsi="Arial" w:cs="Arial"/>
          <w:bCs/>
          <w:sz w:val="22"/>
        </w:rPr>
        <w:t>tekuće pomoći državnog proračuna Ministarstva znanosti i obrazovanja – sredstva za fiskalnu održivost dječjeg vrtića</w:t>
      </w:r>
    </w:p>
    <w:p w:rsidR="004A2833" w:rsidRDefault="004A2833">
      <w:pPr>
        <w:spacing w:after="0"/>
        <w:jc w:val="both"/>
        <w:rPr>
          <w:rFonts w:ascii="Arial" w:hAnsi="Arial" w:cs="Arial"/>
          <w:sz w:val="22"/>
        </w:rPr>
      </w:pPr>
    </w:p>
    <w:p w:rsidR="004A2833" w:rsidRDefault="009229C7">
      <w:pPr>
        <w:spacing w:after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64 Prihodi od imovine</w:t>
      </w:r>
    </w:p>
    <w:p w:rsidR="004A2833" w:rsidRDefault="009229C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Povećanje za 12,1% odnosi se na prihode od obračunatih zateznih kamata, zakupa poljoprivrednog zemljišta, grobne </w:t>
      </w:r>
      <w:r>
        <w:rPr>
          <w:rFonts w:ascii="Arial" w:hAnsi="Arial" w:cs="Arial"/>
          <w:sz w:val="22"/>
        </w:rPr>
        <w:t>naknade, naknade za zadržavanje nezakonito izgrađene zgrade, prihoda od koncesija, te od zakupa poljoprivrednog zemljišta i poslovnih prostora.</w:t>
      </w:r>
    </w:p>
    <w:p w:rsidR="004A2833" w:rsidRDefault="004A2833">
      <w:pPr>
        <w:spacing w:after="0"/>
        <w:jc w:val="both"/>
        <w:rPr>
          <w:rFonts w:ascii="Arial" w:hAnsi="Arial" w:cs="Arial"/>
          <w:color w:val="FF0000"/>
          <w:sz w:val="22"/>
        </w:rPr>
      </w:pPr>
    </w:p>
    <w:p w:rsidR="004A2833" w:rsidRDefault="009229C7">
      <w:pPr>
        <w:spacing w:after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65 Prihodi od upravnih i administrativnih pristojbi, pristojbi po posebnim propisima i naknada</w:t>
      </w:r>
    </w:p>
    <w:p w:rsidR="004A2833" w:rsidRDefault="004A2833">
      <w:pPr>
        <w:spacing w:after="0"/>
        <w:rPr>
          <w:rFonts w:ascii="Arial" w:hAnsi="Arial" w:cs="Arial"/>
          <w:b/>
          <w:bCs/>
          <w:sz w:val="22"/>
        </w:rPr>
      </w:pPr>
    </w:p>
    <w:p w:rsidR="004A2833" w:rsidRDefault="009229C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Povećanje za 15</w:t>
      </w:r>
      <w:r>
        <w:rPr>
          <w:rFonts w:ascii="Arial" w:hAnsi="Arial" w:cs="Arial"/>
          <w:sz w:val="22"/>
        </w:rPr>
        <w:t>5,4% odnosi se na prihode od doprinosa za šume, komunalnog doprinosa, komunalne naknade, vodnog doprinosa, turističkih pristojbi, te ostalih nespomenutih pristojbi.</w:t>
      </w:r>
    </w:p>
    <w:p w:rsidR="004A2833" w:rsidRDefault="004A2833">
      <w:pPr>
        <w:pStyle w:val="Odlomakpopisa"/>
        <w:spacing w:after="0"/>
        <w:jc w:val="both"/>
        <w:rPr>
          <w:rFonts w:ascii="Arial" w:hAnsi="Arial" w:cs="Arial"/>
          <w:sz w:val="22"/>
        </w:rPr>
      </w:pPr>
    </w:p>
    <w:p w:rsidR="004A2833" w:rsidRDefault="009229C7">
      <w:pPr>
        <w:spacing w:after="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66 Prihodi od prodaje proizvoda i robe te pruženih usluga, prihodi od donacija te povrati </w:t>
      </w:r>
      <w:r>
        <w:rPr>
          <w:rFonts w:ascii="Arial" w:hAnsi="Arial" w:cs="Arial"/>
          <w:b/>
          <w:bCs/>
          <w:sz w:val="22"/>
        </w:rPr>
        <w:t>po protestiranim jamstvima</w:t>
      </w:r>
    </w:p>
    <w:p w:rsidR="004A2833" w:rsidRDefault="004A2833">
      <w:pPr>
        <w:spacing w:after="0"/>
        <w:jc w:val="both"/>
        <w:rPr>
          <w:rFonts w:ascii="Arial" w:hAnsi="Arial" w:cs="Arial"/>
          <w:b/>
          <w:bCs/>
          <w:sz w:val="22"/>
        </w:rPr>
      </w:pPr>
    </w:p>
    <w:p w:rsidR="004A2833" w:rsidRDefault="009229C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Povećanje od 41,6% odnosi se na prihod od Hrvatskih voda za naplatu Naknade za uređenje voda.</w:t>
      </w:r>
    </w:p>
    <w:p w:rsidR="004A2833" w:rsidRDefault="004A2833">
      <w:pPr>
        <w:spacing w:after="0"/>
        <w:rPr>
          <w:rFonts w:ascii="Arial" w:hAnsi="Arial" w:cs="Arial"/>
          <w:b/>
          <w:sz w:val="22"/>
          <w:u w:val="single"/>
        </w:rPr>
      </w:pPr>
    </w:p>
    <w:p w:rsidR="004A2833" w:rsidRDefault="004A2833">
      <w:pPr>
        <w:spacing w:after="0"/>
        <w:rPr>
          <w:rFonts w:ascii="Arial" w:hAnsi="Arial" w:cs="Arial"/>
          <w:b/>
          <w:sz w:val="22"/>
          <w:u w:val="single"/>
        </w:rPr>
      </w:pPr>
    </w:p>
    <w:p w:rsidR="004A2833" w:rsidRDefault="004A2833">
      <w:pPr>
        <w:spacing w:after="0"/>
        <w:rPr>
          <w:rFonts w:ascii="Arial" w:hAnsi="Arial" w:cs="Arial"/>
          <w:b/>
          <w:sz w:val="22"/>
          <w:u w:val="single"/>
        </w:rPr>
      </w:pPr>
    </w:p>
    <w:p w:rsidR="004A2833" w:rsidRDefault="009229C7">
      <w:pPr>
        <w:spacing w:after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7 PRIHODI OD PRODAJE NEFINANCIJSKE IMOVINE</w:t>
      </w:r>
    </w:p>
    <w:p w:rsidR="004A2833" w:rsidRDefault="004A2833">
      <w:pPr>
        <w:spacing w:after="0"/>
        <w:rPr>
          <w:rFonts w:ascii="Arial" w:hAnsi="Arial" w:cs="Arial"/>
          <w:b/>
          <w:sz w:val="22"/>
          <w:u w:val="single"/>
        </w:rPr>
      </w:pPr>
    </w:p>
    <w:p w:rsidR="004A2833" w:rsidRDefault="009229C7">
      <w:pPr>
        <w:spacing w:after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711 Prihodi od prodaje materijalne imovine</w:t>
      </w:r>
    </w:p>
    <w:p w:rsidR="004A2833" w:rsidRDefault="009229C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odnosi se na prihode ostvarene od prodaje po</w:t>
      </w:r>
      <w:r>
        <w:rPr>
          <w:rFonts w:ascii="Arial" w:hAnsi="Arial" w:cs="Arial"/>
          <w:sz w:val="22"/>
        </w:rPr>
        <w:t>ljoprivrednog i građevinskog zemljišta.</w:t>
      </w:r>
    </w:p>
    <w:p w:rsidR="004A2833" w:rsidRDefault="004A2833">
      <w:pPr>
        <w:pStyle w:val="Odlomakpopisa"/>
        <w:spacing w:after="0"/>
        <w:jc w:val="both"/>
        <w:rPr>
          <w:rFonts w:ascii="Arial" w:hAnsi="Arial" w:cs="Arial"/>
          <w:b/>
          <w:sz w:val="22"/>
        </w:rPr>
      </w:pPr>
    </w:p>
    <w:p w:rsidR="004A2833" w:rsidRDefault="004A2833">
      <w:pPr>
        <w:pStyle w:val="Odlomakpopisa"/>
        <w:spacing w:after="0"/>
        <w:jc w:val="both"/>
        <w:rPr>
          <w:rFonts w:ascii="Arial" w:hAnsi="Arial" w:cs="Arial"/>
          <w:b/>
          <w:sz w:val="22"/>
        </w:rPr>
      </w:pPr>
    </w:p>
    <w:p w:rsidR="004A2833" w:rsidRDefault="004A2833">
      <w:pPr>
        <w:pStyle w:val="Odlomakpopisa"/>
        <w:spacing w:after="0"/>
        <w:jc w:val="both"/>
        <w:rPr>
          <w:rFonts w:ascii="Arial" w:hAnsi="Arial" w:cs="Arial"/>
          <w:b/>
          <w:sz w:val="22"/>
        </w:rPr>
      </w:pPr>
    </w:p>
    <w:p w:rsidR="004A2833" w:rsidRDefault="004A2833">
      <w:pPr>
        <w:pStyle w:val="Odlomakpopisa"/>
        <w:spacing w:after="0"/>
        <w:jc w:val="both"/>
        <w:rPr>
          <w:rFonts w:ascii="Arial" w:hAnsi="Arial" w:cs="Arial"/>
          <w:b/>
          <w:sz w:val="22"/>
        </w:rPr>
      </w:pPr>
    </w:p>
    <w:p w:rsidR="004A2833" w:rsidRDefault="004A2833">
      <w:pPr>
        <w:pStyle w:val="Odlomakpopisa"/>
        <w:spacing w:after="0"/>
        <w:jc w:val="both"/>
        <w:rPr>
          <w:rFonts w:ascii="Arial" w:hAnsi="Arial" w:cs="Arial"/>
          <w:b/>
          <w:sz w:val="22"/>
        </w:rPr>
      </w:pPr>
    </w:p>
    <w:p w:rsidR="004A2833" w:rsidRDefault="004A2833">
      <w:pPr>
        <w:pStyle w:val="Odlomakpopisa"/>
        <w:spacing w:after="0"/>
        <w:jc w:val="both"/>
        <w:rPr>
          <w:rFonts w:ascii="Arial" w:hAnsi="Arial" w:cs="Arial"/>
          <w:b/>
          <w:sz w:val="22"/>
        </w:rPr>
      </w:pPr>
    </w:p>
    <w:p w:rsidR="004A2833" w:rsidRDefault="004A2833">
      <w:pPr>
        <w:pStyle w:val="Odlomakpopisa"/>
        <w:spacing w:after="0"/>
        <w:jc w:val="both"/>
        <w:rPr>
          <w:rFonts w:ascii="Arial" w:hAnsi="Arial" w:cs="Arial"/>
          <w:b/>
          <w:sz w:val="22"/>
        </w:rPr>
      </w:pPr>
    </w:p>
    <w:p w:rsidR="004A2833" w:rsidRDefault="004A2833">
      <w:pPr>
        <w:pStyle w:val="Odlomakpopisa"/>
        <w:spacing w:after="0"/>
        <w:jc w:val="both"/>
        <w:rPr>
          <w:rFonts w:ascii="Arial" w:hAnsi="Arial" w:cs="Arial"/>
          <w:b/>
          <w:sz w:val="22"/>
        </w:rPr>
      </w:pPr>
    </w:p>
    <w:p w:rsidR="004A2833" w:rsidRDefault="004A2833">
      <w:pPr>
        <w:pStyle w:val="Odlomakpopisa"/>
        <w:spacing w:after="0"/>
        <w:jc w:val="both"/>
        <w:rPr>
          <w:rFonts w:ascii="Arial" w:hAnsi="Arial" w:cs="Arial"/>
          <w:b/>
          <w:sz w:val="22"/>
        </w:rPr>
      </w:pPr>
    </w:p>
    <w:p w:rsidR="004A2833" w:rsidRDefault="009229C7">
      <w:pPr>
        <w:spacing w:after="0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lastRenderedPageBreak/>
        <w:t>3 RASHODI POSLOVANJA</w:t>
      </w:r>
    </w:p>
    <w:p w:rsidR="004A2833" w:rsidRDefault="004A2833">
      <w:pPr>
        <w:spacing w:after="0"/>
        <w:rPr>
          <w:rFonts w:ascii="Arial" w:hAnsi="Arial" w:cs="Arial"/>
          <w:b/>
          <w:i/>
          <w:iCs/>
          <w:sz w:val="22"/>
          <w:u w:val="single"/>
        </w:rPr>
      </w:pPr>
    </w:p>
    <w:p w:rsidR="004A2833" w:rsidRDefault="004A2833">
      <w:pPr>
        <w:spacing w:after="0"/>
        <w:rPr>
          <w:rFonts w:ascii="Arial" w:hAnsi="Arial" w:cs="Arial"/>
          <w:b/>
          <w:i/>
          <w:iCs/>
          <w:sz w:val="22"/>
          <w:u w:val="single"/>
        </w:rPr>
      </w:pPr>
    </w:p>
    <w:p w:rsidR="004A2833" w:rsidRDefault="009229C7">
      <w:pPr>
        <w:spacing w:after="0"/>
      </w:pPr>
      <w:r>
        <w:rPr>
          <w:rFonts w:ascii="Arial" w:hAnsi="Arial" w:cs="Arial"/>
          <w:b/>
          <w:bCs/>
          <w:sz w:val="22"/>
        </w:rPr>
        <w:t>311 Plaće</w:t>
      </w:r>
    </w:p>
    <w:p w:rsidR="004A2833" w:rsidRDefault="009229C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Povećanje za 83%. odnosi se na plaće za zaposlene i plaće za program javnih radova.</w:t>
      </w:r>
    </w:p>
    <w:p w:rsidR="004A2833" w:rsidRDefault="004A2833">
      <w:pPr>
        <w:spacing w:after="0"/>
        <w:rPr>
          <w:rFonts w:ascii="Arial" w:hAnsi="Arial" w:cs="Arial"/>
          <w:b/>
          <w:bCs/>
          <w:sz w:val="22"/>
        </w:rPr>
      </w:pPr>
    </w:p>
    <w:p w:rsidR="004A2833" w:rsidRDefault="009229C7">
      <w:pPr>
        <w:spacing w:after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312 Ostali rashodi za zaposlene</w:t>
      </w:r>
    </w:p>
    <w:p w:rsidR="004A2833" w:rsidRDefault="004A2833">
      <w:pPr>
        <w:spacing w:after="0"/>
        <w:rPr>
          <w:rFonts w:ascii="Arial" w:hAnsi="Arial" w:cs="Arial"/>
          <w:b/>
          <w:bCs/>
          <w:sz w:val="22"/>
        </w:rPr>
      </w:pPr>
    </w:p>
    <w:p w:rsidR="004A2833" w:rsidRDefault="009229C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Smanjenje za 25,6%. Iskazani iznos se odnosi na rashode </w:t>
      </w:r>
      <w:r>
        <w:rPr>
          <w:rFonts w:ascii="Arial" w:hAnsi="Arial" w:cs="Arial"/>
          <w:sz w:val="22"/>
        </w:rPr>
        <w:t>koji se isplaćuju zaposlenima, a odnose se na prigodne godišnje nagrade, prava po pravilniku, te dodatke za uspješnost na radu.</w:t>
      </w:r>
    </w:p>
    <w:p w:rsidR="004A2833" w:rsidRDefault="004A2833">
      <w:pPr>
        <w:spacing w:after="0"/>
        <w:rPr>
          <w:rFonts w:ascii="Arial" w:hAnsi="Arial" w:cs="Arial"/>
          <w:b/>
          <w:i/>
          <w:iCs/>
          <w:sz w:val="22"/>
          <w:u w:val="single"/>
        </w:rPr>
      </w:pPr>
    </w:p>
    <w:p w:rsidR="004A2833" w:rsidRDefault="004A2833">
      <w:pPr>
        <w:spacing w:after="0"/>
        <w:rPr>
          <w:rFonts w:ascii="Arial" w:hAnsi="Arial" w:cs="Arial"/>
          <w:b/>
          <w:i/>
          <w:iCs/>
          <w:sz w:val="22"/>
          <w:u w:val="single"/>
        </w:rPr>
      </w:pPr>
    </w:p>
    <w:p w:rsidR="004A2833" w:rsidRDefault="009229C7">
      <w:pPr>
        <w:spacing w:after="0"/>
      </w:pPr>
      <w:r>
        <w:rPr>
          <w:rFonts w:ascii="Arial" w:hAnsi="Arial" w:cs="Arial"/>
          <w:b/>
          <w:bCs/>
          <w:sz w:val="22"/>
        </w:rPr>
        <w:t>313 Doprinosi na plaće</w:t>
      </w:r>
    </w:p>
    <w:p w:rsidR="004A2833" w:rsidRDefault="009229C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Povećanje za 134,3%. Iskazani iznos odnosi se na rashode za doprinose na plaću i veći je u odnosu na pr</w:t>
      </w:r>
      <w:r>
        <w:rPr>
          <w:rFonts w:ascii="Arial" w:hAnsi="Arial" w:cs="Arial"/>
          <w:sz w:val="22"/>
        </w:rPr>
        <w:t xml:space="preserve">ethodno razdoblje zbog većih troškova zaposlenih (zaposleni, javni radovi). </w:t>
      </w:r>
    </w:p>
    <w:p w:rsidR="004A2833" w:rsidRDefault="004A2833">
      <w:pPr>
        <w:spacing w:after="0" w:line="240" w:lineRule="auto"/>
        <w:jc w:val="both"/>
        <w:rPr>
          <w:rFonts w:ascii="Arial" w:hAnsi="Arial" w:cs="Arial"/>
          <w:b/>
          <w:bCs/>
          <w:sz w:val="22"/>
        </w:rPr>
      </w:pPr>
    </w:p>
    <w:p w:rsidR="004A2833" w:rsidRDefault="009229C7">
      <w:pPr>
        <w:spacing w:after="0" w:line="24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321 Naknade troškova zaposlenima</w:t>
      </w:r>
    </w:p>
    <w:p w:rsidR="004A2833" w:rsidRDefault="009229C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Povećanje od 60,2%. Iskazani iznos se odnosi na rashode za službena putovanja, stručno usavršavanje zaposlenika, naknade za prijevoz na posao i s</w:t>
      </w:r>
      <w:r>
        <w:rPr>
          <w:rFonts w:ascii="Arial" w:hAnsi="Arial" w:cs="Arial"/>
          <w:sz w:val="22"/>
        </w:rPr>
        <w:t xml:space="preserve"> posla. Iznos je veći zbog većih troškova zaposlenih.  </w:t>
      </w:r>
    </w:p>
    <w:p w:rsidR="004A2833" w:rsidRDefault="004A2833">
      <w:pPr>
        <w:spacing w:after="0" w:line="240" w:lineRule="auto"/>
        <w:jc w:val="both"/>
        <w:rPr>
          <w:rFonts w:ascii="Arial" w:hAnsi="Arial" w:cs="Arial"/>
          <w:b/>
          <w:bCs/>
          <w:sz w:val="22"/>
        </w:rPr>
      </w:pPr>
    </w:p>
    <w:p w:rsidR="004A2833" w:rsidRDefault="009229C7">
      <w:pPr>
        <w:spacing w:after="0" w:line="24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322 Rashod za materijal i energiju</w:t>
      </w:r>
    </w:p>
    <w:p w:rsidR="004A2833" w:rsidRDefault="009229C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Smanjenje za 2,9% u odnosu na prethodno razdoblje odnosi se na rashode za uredski materijal i ostale materijalne rashode, rashode za energiju te materijal i </w:t>
      </w:r>
      <w:r>
        <w:rPr>
          <w:rFonts w:ascii="Arial" w:hAnsi="Arial" w:cs="Arial"/>
          <w:sz w:val="22"/>
        </w:rPr>
        <w:t xml:space="preserve">dijelove za tekuće i investicijsko održavanje. </w:t>
      </w:r>
    </w:p>
    <w:p w:rsidR="004A2833" w:rsidRDefault="004A2833">
      <w:pPr>
        <w:spacing w:after="0"/>
        <w:rPr>
          <w:rFonts w:ascii="Arial" w:hAnsi="Arial" w:cs="Arial"/>
          <w:b/>
          <w:i/>
          <w:iCs/>
          <w:sz w:val="22"/>
          <w:u w:val="single"/>
        </w:rPr>
      </w:pPr>
    </w:p>
    <w:p w:rsidR="004A2833" w:rsidRDefault="009229C7">
      <w:pPr>
        <w:spacing w:after="0"/>
      </w:pPr>
      <w:r>
        <w:rPr>
          <w:rFonts w:ascii="Arial" w:hAnsi="Arial" w:cs="Arial"/>
          <w:b/>
          <w:bCs/>
          <w:sz w:val="22"/>
        </w:rPr>
        <w:t>323 Rashodi za usluge</w:t>
      </w:r>
    </w:p>
    <w:p w:rsidR="004A2833" w:rsidRDefault="009229C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Smanjenje za 12,2% odnosi se na usluge promidžbe i informiranja, tekuće i investicijsko održavanje, intelektualne i osobne usluge te komunalne usluge.</w:t>
      </w:r>
    </w:p>
    <w:p w:rsidR="004A2833" w:rsidRDefault="004A2833">
      <w:pPr>
        <w:spacing w:after="0"/>
        <w:rPr>
          <w:rFonts w:ascii="Arial" w:hAnsi="Arial" w:cs="Arial"/>
          <w:b/>
          <w:sz w:val="22"/>
        </w:rPr>
      </w:pPr>
    </w:p>
    <w:p w:rsidR="004A2833" w:rsidRDefault="009229C7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329 Ostali nespomenuti rashodi po</w:t>
      </w:r>
      <w:r>
        <w:rPr>
          <w:rFonts w:ascii="Arial" w:hAnsi="Arial" w:cs="Arial"/>
          <w:b/>
          <w:sz w:val="22"/>
        </w:rPr>
        <w:t>slovanja</w:t>
      </w:r>
    </w:p>
    <w:p w:rsidR="004A2833" w:rsidRDefault="009229C7">
      <w:pPr>
        <w:pStyle w:val="Odlomakpopisa"/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22"/>
        </w:rPr>
        <w:t xml:space="preserve">Povećanje za 9,6% odnosi se na pristojbe i naknade, članarine, premije osiguranja i sl. </w:t>
      </w:r>
    </w:p>
    <w:p w:rsidR="004A2833" w:rsidRDefault="004A2833">
      <w:pPr>
        <w:pStyle w:val="Odlomakpopisa"/>
        <w:spacing w:after="0"/>
        <w:rPr>
          <w:rFonts w:ascii="Arial" w:hAnsi="Arial" w:cs="Arial"/>
          <w:bCs/>
          <w:sz w:val="22"/>
        </w:rPr>
      </w:pPr>
    </w:p>
    <w:p w:rsidR="004A2833" w:rsidRDefault="009229C7">
      <w:pPr>
        <w:spacing w:after="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34 Financijski rashodi</w:t>
      </w:r>
    </w:p>
    <w:p w:rsidR="004A2833" w:rsidRDefault="009229C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Smanjenje za 69,7% odnosi se na bankarske usluge i usluge platnog prometa. </w:t>
      </w:r>
    </w:p>
    <w:p w:rsidR="004A2833" w:rsidRDefault="004A2833">
      <w:pPr>
        <w:spacing w:after="0"/>
        <w:jc w:val="both"/>
        <w:rPr>
          <w:rFonts w:ascii="Arial" w:hAnsi="Arial" w:cs="Arial"/>
          <w:b/>
          <w:bCs/>
          <w:color w:val="FF0000"/>
          <w:sz w:val="22"/>
        </w:rPr>
      </w:pPr>
    </w:p>
    <w:p w:rsidR="004A2833" w:rsidRDefault="009229C7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36 Pomoći dane u inozemstvo i unutar općeg proračuna</w:t>
      </w:r>
    </w:p>
    <w:p w:rsidR="004A2833" w:rsidRDefault="009229C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Pove</w:t>
      </w:r>
      <w:r>
        <w:rPr>
          <w:rFonts w:ascii="Arial" w:hAnsi="Arial" w:cs="Arial"/>
          <w:sz w:val="22"/>
        </w:rPr>
        <w:t>ćanje za 77,2% odnosi se na financiranje vrtića.</w:t>
      </w:r>
    </w:p>
    <w:p w:rsidR="004A2833" w:rsidRDefault="004A2833">
      <w:pPr>
        <w:pStyle w:val="Odlomakpopisa"/>
        <w:spacing w:after="0"/>
        <w:jc w:val="both"/>
        <w:rPr>
          <w:rFonts w:ascii="Arial" w:hAnsi="Arial" w:cs="Arial"/>
          <w:sz w:val="22"/>
        </w:rPr>
      </w:pPr>
    </w:p>
    <w:p w:rsidR="004A2833" w:rsidRDefault="009229C7">
      <w:pPr>
        <w:spacing w:after="0"/>
      </w:pPr>
      <w:r>
        <w:rPr>
          <w:rFonts w:ascii="Arial" w:hAnsi="Arial" w:cs="Arial"/>
          <w:b/>
          <w:bCs/>
          <w:sz w:val="22"/>
        </w:rPr>
        <w:t>38 Ostali rashodi</w:t>
      </w:r>
    </w:p>
    <w:p w:rsidR="004A2833" w:rsidRDefault="009229C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Povećanje za 284,5%  odnosi se na tekuće i kapitalne donacije  </w:t>
      </w:r>
    </w:p>
    <w:p w:rsidR="004A2833" w:rsidRDefault="004A2833">
      <w:pPr>
        <w:spacing w:after="0"/>
        <w:ind w:left="360"/>
        <w:jc w:val="both"/>
        <w:rPr>
          <w:rFonts w:ascii="Arial" w:hAnsi="Arial" w:cs="Arial"/>
          <w:sz w:val="22"/>
        </w:rPr>
      </w:pPr>
    </w:p>
    <w:p w:rsidR="004A2833" w:rsidRDefault="004A2833">
      <w:pPr>
        <w:spacing w:after="0"/>
        <w:jc w:val="both"/>
        <w:rPr>
          <w:rFonts w:ascii="Arial" w:hAnsi="Arial" w:cs="Arial"/>
          <w:b/>
          <w:sz w:val="22"/>
          <w:u w:val="single"/>
        </w:rPr>
      </w:pPr>
    </w:p>
    <w:p w:rsidR="004A2833" w:rsidRDefault="004A2833">
      <w:pPr>
        <w:spacing w:after="0"/>
        <w:jc w:val="both"/>
        <w:rPr>
          <w:rFonts w:ascii="Arial" w:hAnsi="Arial" w:cs="Arial"/>
          <w:b/>
          <w:sz w:val="22"/>
          <w:u w:val="single"/>
        </w:rPr>
      </w:pPr>
    </w:p>
    <w:p w:rsidR="004A2833" w:rsidRDefault="009229C7">
      <w:pPr>
        <w:spacing w:after="0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lastRenderedPageBreak/>
        <w:t>4 RASHODI ZA NABAVU NEFINANCIJSKE IMOVINE</w:t>
      </w:r>
    </w:p>
    <w:p w:rsidR="004A2833" w:rsidRDefault="004A2833">
      <w:pPr>
        <w:spacing w:after="0"/>
        <w:jc w:val="both"/>
        <w:rPr>
          <w:rFonts w:ascii="Arial" w:hAnsi="Arial" w:cs="Arial"/>
          <w:b/>
          <w:sz w:val="22"/>
          <w:u w:val="single"/>
        </w:rPr>
      </w:pPr>
    </w:p>
    <w:p w:rsidR="004A2833" w:rsidRDefault="004A2833">
      <w:pPr>
        <w:spacing w:after="0"/>
        <w:jc w:val="both"/>
        <w:rPr>
          <w:rFonts w:ascii="Arial" w:hAnsi="Arial" w:cs="Arial"/>
          <w:b/>
          <w:sz w:val="22"/>
        </w:rPr>
      </w:pPr>
    </w:p>
    <w:p w:rsidR="004A2833" w:rsidRDefault="009229C7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42 Rashodi za nabavu proizvedene dugotrajne imovine</w:t>
      </w:r>
    </w:p>
    <w:p w:rsidR="004A2833" w:rsidRDefault="009229C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Povećanje za 21,1%.</w:t>
      </w:r>
    </w:p>
    <w:p w:rsidR="004A2833" w:rsidRDefault="009229C7">
      <w:pPr>
        <w:spacing w:after="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4212 </w:t>
      </w:r>
      <w:r>
        <w:rPr>
          <w:rFonts w:ascii="Arial" w:hAnsi="Arial" w:cs="Arial"/>
          <w:bCs/>
          <w:sz w:val="22"/>
        </w:rPr>
        <w:t>– Poslovni objekti – Dječji vrtić u Eminovcima.</w:t>
      </w:r>
    </w:p>
    <w:p w:rsidR="004A2833" w:rsidRDefault="009229C7">
      <w:pPr>
        <w:spacing w:after="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4214 – Javna rasvjeta</w:t>
      </w:r>
    </w:p>
    <w:p w:rsidR="004A2833" w:rsidRDefault="009229C7">
      <w:pPr>
        <w:spacing w:after="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4221 – oprema za ured</w:t>
      </w:r>
    </w:p>
    <w:p w:rsidR="004A2833" w:rsidRDefault="009229C7">
      <w:pPr>
        <w:spacing w:after="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4227 – elektroinstalacije u domu Rajsavac</w:t>
      </w:r>
    </w:p>
    <w:p w:rsidR="004A2833" w:rsidRDefault="004A2833">
      <w:pPr>
        <w:spacing w:after="0"/>
        <w:jc w:val="both"/>
        <w:rPr>
          <w:rFonts w:ascii="Arial" w:hAnsi="Arial" w:cs="Arial"/>
          <w:bCs/>
          <w:sz w:val="22"/>
        </w:rPr>
      </w:pPr>
    </w:p>
    <w:p w:rsidR="004A2833" w:rsidRDefault="009229C7">
      <w:pPr>
        <w:spacing w:after="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451 Dodatna ulaganja u građevinske objekte</w:t>
      </w:r>
    </w:p>
    <w:p w:rsidR="004A2833" w:rsidRDefault="009229C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Mjesni dom Radnovac, Kulturni centar stara škola i radovi na kotlovnici</w:t>
      </w:r>
    </w:p>
    <w:p w:rsidR="004A2833" w:rsidRDefault="004A2833">
      <w:pPr>
        <w:spacing w:after="0"/>
        <w:rPr>
          <w:rFonts w:ascii="Arial" w:hAnsi="Arial" w:cs="Arial"/>
          <w:sz w:val="22"/>
        </w:rPr>
      </w:pPr>
    </w:p>
    <w:p w:rsidR="004A2833" w:rsidRDefault="004A2833">
      <w:pPr>
        <w:spacing w:after="0"/>
        <w:rPr>
          <w:rFonts w:ascii="Arial" w:hAnsi="Arial" w:cs="Arial"/>
          <w:b/>
          <w:u w:val="single"/>
        </w:rPr>
      </w:pPr>
    </w:p>
    <w:p w:rsidR="004A2833" w:rsidRDefault="004A2833">
      <w:pPr>
        <w:spacing w:after="0"/>
        <w:jc w:val="both"/>
        <w:rPr>
          <w:rFonts w:ascii="Arial" w:hAnsi="Arial" w:cs="Arial"/>
          <w:sz w:val="22"/>
        </w:rPr>
      </w:pPr>
    </w:p>
    <w:p w:rsidR="004A2833" w:rsidRDefault="009229C7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BIL</w:t>
      </w:r>
      <w:r>
        <w:rPr>
          <w:rFonts w:ascii="Arial" w:hAnsi="Arial" w:cs="Arial"/>
          <w:b/>
          <w:u w:val="single"/>
        </w:rPr>
        <w:t>JEŠKE UZ OBRAZAC OBVEZE</w:t>
      </w:r>
    </w:p>
    <w:p w:rsidR="004A2833" w:rsidRDefault="004A2833">
      <w:pPr>
        <w:jc w:val="both"/>
        <w:rPr>
          <w:rFonts w:ascii="Arial" w:hAnsi="Arial" w:cs="Arial"/>
        </w:rPr>
      </w:pPr>
    </w:p>
    <w:p w:rsidR="004A2833" w:rsidRDefault="009229C7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Stanje obveza na kraju izvještajnog razdoblje iznosi 102.061,46 EUR.</w:t>
      </w:r>
    </w:p>
    <w:p w:rsidR="004A2833" w:rsidRDefault="009229C7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Dospjele obveze iznose 0,00 EUR</w:t>
      </w:r>
    </w:p>
    <w:p w:rsidR="004A2833" w:rsidRDefault="009229C7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Nedospjele obveze iznose 102.061,46 EUR</w:t>
      </w:r>
    </w:p>
    <w:p w:rsidR="004A2833" w:rsidRDefault="004A2833">
      <w:pPr>
        <w:spacing w:after="0"/>
        <w:jc w:val="both"/>
        <w:rPr>
          <w:rFonts w:ascii="Arial" w:hAnsi="Arial" w:cs="Arial"/>
          <w:sz w:val="22"/>
        </w:rPr>
      </w:pPr>
    </w:p>
    <w:p w:rsidR="004A2833" w:rsidRDefault="009229C7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Nedospjele obveze za rashode poslovanja u iznosu od 102.061,46 EUR odnose se na </w:t>
      </w:r>
      <w:r>
        <w:rPr>
          <w:rFonts w:ascii="Arial" w:hAnsi="Arial" w:cs="Arial"/>
          <w:sz w:val="22"/>
        </w:rPr>
        <w:t>materijalne rashode, rashode za materijal i energiju i ostale usluge.</w:t>
      </w:r>
    </w:p>
    <w:p w:rsidR="004A2833" w:rsidRDefault="004A2833">
      <w:pPr>
        <w:spacing w:after="0"/>
        <w:jc w:val="both"/>
        <w:rPr>
          <w:rFonts w:ascii="Arial" w:hAnsi="Arial" w:cs="Arial"/>
          <w:sz w:val="22"/>
        </w:rPr>
      </w:pPr>
    </w:p>
    <w:p w:rsidR="004A2833" w:rsidRDefault="009229C7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Obveze su nastale sukladno predviđenoj dinamici poslovanja (redovno poslovanje / investicije) i ne predstavljaju opasnost po likvidnost općinskog proračuna.</w:t>
      </w:r>
    </w:p>
    <w:p w:rsidR="004A2833" w:rsidRDefault="004A2833">
      <w:pPr>
        <w:spacing w:after="0"/>
        <w:jc w:val="center"/>
        <w:rPr>
          <w:rFonts w:ascii="Arial" w:hAnsi="Arial" w:cs="Arial"/>
          <w:b/>
          <w:sz w:val="22"/>
          <w:u w:val="single"/>
        </w:rPr>
      </w:pPr>
    </w:p>
    <w:p w:rsidR="004A2833" w:rsidRDefault="004A2833">
      <w:pPr>
        <w:jc w:val="both"/>
        <w:rPr>
          <w:rFonts w:ascii="Arial" w:hAnsi="Arial" w:cs="Arial"/>
          <w:sz w:val="22"/>
        </w:rPr>
      </w:pPr>
    </w:p>
    <w:p w:rsidR="004A2833" w:rsidRDefault="009229C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Jakšić, 10. travnja 2025. </w:t>
      </w:r>
      <w:r>
        <w:rPr>
          <w:rFonts w:ascii="Arial" w:hAnsi="Arial" w:cs="Arial"/>
          <w:sz w:val="22"/>
        </w:rPr>
        <w:t>g.</w:t>
      </w:r>
    </w:p>
    <w:p w:rsidR="004A2833" w:rsidRDefault="004A2833">
      <w:pPr>
        <w:jc w:val="both"/>
        <w:rPr>
          <w:rFonts w:ascii="Arial" w:hAnsi="Arial" w:cs="Arial"/>
          <w:sz w:val="22"/>
        </w:rPr>
      </w:pPr>
    </w:p>
    <w:p w:rsidR="004A2833" w:rsidRDefault="009229C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OPĆINSKI NAČELNIK</w:t>
      </w:r>
    </w:p>
    <w:p w:rsidR="004A2833" w:rsidRDefault="009229C7">
      <w:pPr>
        <w:jc w:val="both"/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Ivica Kovačević,  dipl. ing.</w:t>
      </w:r>
    </w:p>
    <w:sectPr w:rsidR="004A2833">
      <w:footerReference w:type="default" r:id="rId7"/>
      <w:pgSz w:w="11906" w:h="16838"/>
      <w:pgMar w:top="1276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9C7" w:rsidRDefault="009229C7">
      <w:pPr>
        <w:spacing w:after="0" w:line="240" w:lineRule="auto"/>
      </w:pPr>
      <w:r>
        <w:separator/>
      </w:r>
    </w:p>
  </w:endnote>
  <w:endnote w:type="continuationSeparator" w:id="0">
    <w:p w:rsidR="009229C7" w:rsidRDefault="0092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C4" w:rsidRDefault="009229C7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-38</wp:posOffset>
              </wp:positionH>
              <wp:positionV relativeFrom="page">
                <wp:posOffset>-29</wp:posOffset>
              </wp:positionV>
              <wp:extent cx="565785" cy="191137"/>
              <wp:effectExtent l="0" t="0" r="0" b="18413"/>
              <wp:wrapNone/>
              <wp:docPr id="1" name="Pravokut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9" flipH="1">
                        <a:off x="0" y="0"/>
                        <a:ext cx="565785" cy="191137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:rsidR="00282CC4" w:rsidRDefault="009229C7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</w:pPr>
                          <w:r>
                            <w:rPr>
                              <w:color w:val="ED7D31"/>
                            </w:rPr>
                            <w:fldChar w:fldCharType="begin"/>
                          </w:r>
                          <w:r>
                            <w:rPr>
                              <w:color w:val="ED7D31"/>
                            </w:rPr>
                            <w:instrText xml:space="preserve"> PAGE </w:instrText>
                          </w:r>
                          <w:r>
                            <w:rPr>
                              <w:color w:val="ED7D31"/>
                            </w:rPr>
                            <w:fldChar w:fldCharType="separate"/>
                          </w:r>
                          <w:r w:rsidR="009921D7">
                            <w:rPr>
                              <w:noProof/>
                              <w:color w:val="ED7D31"/>
                            </w:rPr>
                            <w:t>2</w:t>
                          </w:r>
                          <w:r>
                            <w:rPr>
                              <w:color w:val="ED7D3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0" rIns="9144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utnik 1" o:spid="_x0000_s1026" style="position:absolute;margin-left:0;margin-top:0;width:44.55pt;height:15.05pt;rotation:11796470fd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" filled="f" stroked="f">
              <v:textbox inset=",0,,0">
                <w:txbxContent>
                  <w:p w:rsidR="00282CC4" w:rsidRDefault="009229C7">
                    <w:pPr>
                      <w:pBdr>
                        <w:top w:val="single" w:sz="4" w:space="1" w:color="7F7F7F"/>
                      </w:pBdr>
                      <w:jc w:val="center"/>
                    </w:pPr>
                    <w:r>
                      <w:rPr>
                        <w:color w:val="ED7D31"/>
                      </w:rPr>
                      <w:fldChar w:fldCharType="begin"/>
                    </w:r>
                    <w:r>
                      <w:rPr>
                        <w:color w:val="ED7D31"/>
                      </w:rPr>
                      <w:instrText xml:space="preserve"> PAGE </w:instrText>
                    </w:r>
                    <w:r>
                      <w:rPr>
                        <w:color w:val="ED7D31"/>
                      </w:rPr>
                      <w:fldChar w:fldCharType="separate"/>
                    </w:r>
                    <w:r w:rsidR="009921D7">
                      <w:rPr>
                        <w:noProof/>
                        <w:color w:val="ED7D31"/>
                      </w:rPr>
                      <w:t>2</w:t>
                    </w:r>
                    <w:r>
                      <w:rPr>
                        <w:color w:val="ED7D3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9C7" w:rsidRDefault="009229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229C7" w:rsidRDefault="00922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65861"/>
    <w:multiLevelType w:val="multilevel"/>
    <w:tmpl w:val="6F0CA02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A2833"/>
    <w:rsid w:val="004A2833"/>
    <w:rsid w:val="009229C7"/>
    <w:rsid w:val="0099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FCA29-79C5-4D45-B415-4EEB6D09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 Light" w:hAnsi="Calibri Light"/>
      <w:kern w:val="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rPr>
      <w:rFonts w:ascii="Calibri Light" w:hAnsi="Calibri Light"/>
      <w:kern w:val="0"/>
      <w:sz w:val="24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hr-HR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Marić</dc:creator>
  <dc:description/>
  <cp:lastModifiedBy>Jaksic4</cp:lastModifiedBy>
  <cp:revision>2</cp:revision>
  <cp:lastPrinted>2025-04-10T12:00:00Z</cp:lastPrinted>
  <dcterms:created xsi:type="dcterms:W3CDTF">2025-04-10T12:47:00Z</dcterms:created>
  <dcterms:modified xsi:type="dcterms:W3CDTF">2025-04-10T12:47:00Z</dcterms:modified>
</cp:coreProperties>
</file>